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E14EF" w14:textId="097E593E" w:rsidR="00FD0CB1" w:rsidRPr="00912192" w:rsidRDefault="00786D86" w:rsidP="00B02056">
      <w:pPr>
        <w:pStyle w:val="Heading1"/>
        <w:ind w:firstLine="0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M</w:t>
      </w:r>
      <w:bookmarkStart w:id="0" w:name="_GoBack"/>
      <w:bookmarkEnd w:id="0"/>
      <w:r w:rsidR="00B02056" w:rsidRPr="00912192">
        <w:rPr>
          <w:rFonts w:ascii="Verdana" w:hAnsi="Verdana" w:cs="Tahoma"/>
        </w:rPr>
        <w:t xml:space="preserve">OTIONS to AMEND the AFA </w:t>
      </w:r>
      <w:r w:rsidR="00FD0CB1" w:rsidRPr="00912192">
        <w:rPr>
          <w:rFonts w:ascii="Verdana" w:hAnsi="Verdana" w:cs="Tahoma"/>
        </w:rPr>
        <w:t>CONSTITUTION</w:t>
      </w:r>
    </w:p>
    <w:p w14:paraId="1EA5EA78" w14:textId="77777777" w:rsidR="00FD0CB1" w:rsidRPr="00912192" w:rsidRDefault="00FD0CB1" w:rsidP="00FD0CB1">
      <w:pPr>
        <w:rPr>
          <w:rFonts w:ascii="Verdana" w:hAnsi="Verdana" w:cs="Tahoma"/>
          <w:sz w:val="20"/>
        </w:rPr>
      </w:pPr>
    </w:p>
    <w:p w14:paraId="5E20C8AC" w14:textId="77777777" w:rsidR="00FD0CB1" w:rsidRPr="00912192" w:rsidRDefault="00FD0CB1" w:rsidP="00FD0CB1">
      <w:pPr>
        <w:rPr>
          <w:rFonts w:ascii="Verdana" w:hAnsi="Verdana" w:cs="Tahoma"/>
          <w:sz w:val="20"/>
        </w:rPr>
      </w:pPr>
    </w:p>
    <w:p w14:paraId="2ABF487A" w14:textId="63D03ABE" w:rsidR="00FD0CB1" w:rsidRPr="00912192" w:rsidRDefault="00FD0CB1" w:rsidP="00B02056">
      <w:pPr>
        <w:pStyle w:val="Heading2"/>
        <w:ind w:left="0" w:firstLine="0"/>
        <w:rPr>
          <w:rFonts w:ascii="Verdana" w:hAnsi="Verdana" w:cs="Tahoma"/>
        </w:rPr>
      </w:pPr>
      <w:r w:rsidRPr="00912192">
        <w:rPr>
          <w:rFonts w:ascii="Verdana" w:hAnsi="Verdana" w:cs="Tahoma"/>
        </w:rPr>
        <w:t>PREAM</w:t>
      </w:r>
      <w:r w:rsidR="009B6A9C">
        <w:rPr>
          <w:rFonts w:ascii="Verdana" w:hAnsi="Verdana" w:cs="Tahoma"/>
        </w:rPr>
        <w:t>BLE</w:t>
      </w:r>
    </w:p>
    <w:p w14:paraId="074C2992" w14:textId="77777777" w:rsidR="00FD0CB1" w:rsidRPr="00912192" w:rsidRDefault="00FD0CB1" w:rsidP="00FD0CB1">
      <w:pPr>
        <w:rPr>
          <w:rFonts w:ascii="Verdana" w:hAnsi="Verdana" w:cs="Tahoma"/>
          <w:sz w:val="20"/>
        </w:rPr>
      </w:pPr>
    </w:p>
    <w:p w14:paraId="0FE370D4" w14:textId="5408B1D2" w:rsidR="00B02056" w:rsidRPr="00912192" w:rsidRDefault="00B02056" w:rsidP="00FD0CB1">
      <w:pPr>
        <w:rPr>
          <w:rFonts w:ascii="Verdana" w:hAnsi="Verdana" w:cs="Tahoma"/>
          <w:sz w:val="20"/>
        </w:rPr>
      </w:pPr>
      <w:r w:rsidRPr="00912192">
        <w:rPr>
          <w:rFonts w:ascii="Verdana" w:hAnsi="Verdana" w:cs="Tahoma"/>
          <w:sz w:val="20"/>
        </w:rPr>
        <w:t>Th</w:t>
      </w:r>
      <w:r w:rsidR="00F6732D">
        <w:rPr>
          <w:rFonts w:ascii="Verdana" w:hAnsi="Verdana" w:cs="Tahoma"/>
          <w:sz w:val="20"/>
        </w:rPr>
        <w:t>e</w:t>
      </w:r>
      <w:r w:rsidRPr="00912192">
        <w:rPr>
          <w:rFonts w:ascii="Verdana" w:hAnsi="Verdana" w:cs="Tahoma"/>
          <w:sz w:val="20"/>
        </w:rPr>
        <w:t xml:space="preserve"> document titled “Explanation to the Changes to the AFA </w:t>
      </w:r>
      <w:r w:rsidR="00FD0CB1" w:rsidRPr="00912192">
        <w:rPr>
          <w:rFonts w:ascii="Verdana" w:hAnsi="Verdana" w:cs="Tahoma"/>
          <w:sz w:val="20"/>
        </w:rPr>
        <w:t>Constitution</w:t>
      </w:r>
      <w:r w:rsidRPr="00912192">
        <w:rPr>
          <w:rFonts w:ascii="Verdana" w:hAnsi="Verdana" w:cs="Tahoma"/>
          <w:sz w:val="20"/>
        </w:rPr>
        <w:t xml:space="preserve"> – 18 July 2019”</w:t>
      </w:r>
      <w:r w:rsidR="006847AC">
        <w:rPr>
          <w:rFonts w:ascii="Verdana" w:hAnsi="Verdana" w:cs="Tahoma"/>
          <w:sz w:val="20"/>
        </w:rPr>
        <w:t xml:space="preserve"> </w:t>
      </w:r>
      <w:r w:rsidRPr="00912192">
        <w:rPr>
          <w:rFonts w:ascii="Verdana" w:hAnsi="Verdana" w:cs="Tahoma"/>
          <w:sz w:val="20"/>
        </w:rPr>
        <w:t>provides details on the proposed changes the Constitution</w:t>
      </w:r>
      <w:r w:rsidR="00FD0CB1" w:rsidRPr="00912192">
        <w:rPr>
          <w:rFonts w:ascii="Verdana" w:hAnsi="Verdana" w:cs="Tahoma"/>
          <w:sz w:val="20"/>
        </w:rPr>
        <w:t xml:space="preserve"> of the Australian Flyball Association </w:t>
      </w:r>
      <w:r w:rsidRPr="00912192">
        <w:rPr>
          <w:rFonts w:ascii="Verdana" w:hAnsi="Verdana" w:cs="Tahoma"/>
          <w:sz w:val="20"/>
        </w:rPr>
        <w:t>Inc.</w:t>
      </w:r>
    </w:p>
    <w:p w14:paraId="236C1DA1" w14:textId="77777777" w:rsidR="00FD0CB1" w:rsidRPr="00912192" w:rsidRDefault="00FD0CB1" w:rsidP="00FD0CB1">
      <w:pPr>
        <w:rPr>
          <w:rFonts w:ascii="Verdana" w:hAnsi="Verdana" w:cs="Tahoma"/>
          <w:sz w:val="20"/>
        </w:rPr>
      </w:pPr>
    </w:p>
    <w:p w14:paraId="05B96E34" w14:textId="77777777" w:rsidR="00B02056" w:rsidRPr="00912192" w:rsidRDefault="00B02056" w:rsidP="00FD0CB1">
      <w:pPr>
        <w:rPr>
          <w:rFonts w:ascii="Verdana" w:hAnsi="Verdana" w:cs="Tahoma"/>
          <w:sz w:val="20"/>
        </w:rPr>
      </w:pPr>
      <w:r w:rsidRPr="00912192">
        <w:rPr>
          <w:rFonts w:ascii="Verdana" w:hAnsi="Verdana" w:cs="Tahoma"/>
          <w:sz w:val="20"/>
        </w:rPr>
        <w:t>There are two motions to amend the Constitution due to the voting requirements for passing the resolutions.</w:t>
      </w:r>
    </w:p>
    <w:p w14:paraId="35C563A9" w14:textId="77777777" w:rsidR="00B02056" w:rsidRPr="00912192" w:rsidRDefault="00B02056" w:rsidP="00FD0CB1">
      <w:pPr>
        <w:rPr>
          <w:rFonts w:ascii="Verdana" w:hAnsi="Verdana" w:cs="Tahoma"/>
          <w:sz w:val="20"/>
        </w:rPr>
      </w:pPr>
    </w:p>
    <w:p w14:paraId="708D08A8" w14:textId="77777777" w:rsidR="00B02056" w:rsidRPr="00912192" w:rsidRDefault="00FD0CB1" w:rsidP="00B02056">
      <w:pPr>
        <w:pStyle w:val="Heading2"/>
        <w:ind w:left="0" w:firstLine="0"/>
        <w:rPr>
          <w:rFonts w:ascii="Verdana" w:hAnsi="Verdana" w:cs="Tahoma"/>
        </w:rPr>
      </w:pPr>
      <w:r w:rsidRPr="00912192">
        <w:rPr>
          <w:rFonts w:ascii="Verdana" w:hAnsi="Verdana" w:cs="Tahoma"/>
        </w:rPr>
        <w:t>M</w:t>
      </w:r>
      <w:r w:rsidR="00B02056" w:rsidRPr="00912192">
        <w:rPr>
          <w:rFonts w:ascii="Verdana" w:hAnsi="Verdana" w:cs="Tahoma"/>
        </w:rPr>
        <w:t>OTION 1.</w:t>
      </w:r>
    </w:p>
    <w:p w14:paraId="6D92130F" w14:textId="77777777" w:rsidR="00FD0CB1" w:rsidRPr="00912192" w:rsidRDefault="00FD0CB1" w:rsidP="00FD0CB1">
      <w:pPr>
        <w:rPr>
          <w:rFonts w:ascii="Verdana" w:hAnsi="Verdana" w:cs="Tahoma"/>
          <w:sz w:val="20"/>
        </w:rPr>
      </w:pPr>
    </w:p>
    <w:p w14:paraId="17F2145F" w14:textId="77777777" w:rsidR="00B02056" w:rsidRPr="00912192" w:rsidRDefault="00B02056" w:rsidP="00FD0CB1">
      <w:pPr>
        <w:rPr>
          <w:rFonts w:ascii="Verdana" w:hAnsi="Verdana" w:cs="Tahoma"/>
          <w:sz w:val="20"/>
          <w:szCs w:val="20"/>
        </w:rPr>
      </w:pPr>
      <w:r w:rsidRPr="00912192">
        <w:rPr>
          <w:rFonts w:ascii="Verdana" w:hAnsi="Verdana" w:cs="Tahoma"/>
          <w:sz w:val="20"/>
          <w:szCs w:val="20"/>
        </w:rPr>
        <w:t>In accordance with Rule 5(b) of the Constitution any resolution adding to, repealing or mending provisions relating to the objectives requires a majority of 90% of the members present at the meeting where the resolution will be voted upon.</w:t>
      </w:r>
    </w:p>
    <w:p w14:paraId="3D0445F9" w14:textId="77777777" w:rsidR="00B02056" w:rsidRPr="00912192" w:rsidRDefault="00B02056" w:rsidP="00FD0CB1">
      <w:pPr>
        <w:rPr>
          <w:rFonts w:ascii="Verdana" w:hAnsi="Verdana" w:cs="Tahoma"/>
          <w:sz w:val="20"/>
          <w:szCs w:val="20"/>
        </w:rPr>
      </w:pPr>
    </w:p>
    <w:p w14:paraId="67FD238B" w14:textId="77777777" w:rsidR="00B02056" w:rsidRPr="00912192" w:rsidRDefault="00B02056" w:rsidP="00FD0CB1">
      <w:pPr>
        <w:rPr>
          <w:rFonts w:ascii="Verdana" w:hAnsi="Verdana" w:cs="Tahoma"/>
          <w:b/>
          <w:sz w:val="20"/>
          <w:szCs w:val="20"/>
        </w:rPr>
      </w:pPr>
      <w:r w:rsidRPr="00912192">
        <w:rPr>
          <w:rFonts w:ascii="Verdana" w:hAnsi="Verdana" w:cs="Tahoma"/>
          <w:b/>
          <w:sz w:val="20"/>
          <w:szCs w:val="20"/>
        </w:rPr>
        <w:t>The motion is:</w:t>
      </w:r>
    </w:p>
    <w:p w14:paraId="75496D46" w14:textId="77777777" w:rsidR="00B02056" w:rsidRPr="00912192" w:rsidRDefault="00B02056" w:rsidP="00FD0CB1">
      <w:pPr>
        <w:rPr>
          <w:rFonts w:ascii="Verdana" w:hAnsi="Verdana" w:cs="Tahoma"/>
          <w:sz w:val="20"/>
          <w:szCs w:val="20"/>
        </w:rPr>
      </w:pPr>
    </w:p>
    <w:p w14:paraId="1CF21835" w14:textId="77777777" w:rsidR="00B02056" w:rsidRPr="00912192" w:rsidRDefault="00B02056" w:rsidP="00FD0CB1">
      <w:pPr>
        <w:rPr>
          <w:rFonts w:ascii="Verdana" w:hAnsi="Verdana" w:cs="Tahoma"/>
          <w:sz w:val="20"/>
          <w:szCs w:val="20"/>
        </w:rPr>
      </w:pPr>
      <w:r w:rsidRPr="00912192">
        <w:rPr>
          <w:rFonts w:ascii="Verdana" w:hAnsi="Verdana" w:cs="Tahoma"/>
          <w:sz w:val="20"/>
          <w:szCs w:val="20"/>
        </w:rPr>
        <w:t xml:space="preserve">The Objectives of the AFA Inc are amended to reflect the </w:t>
      </w:r>
      <w:r w:rsidR="00912192">
        <w:rPr>
          <w:rFonts w:ascii="Verdana" w:hAnsi="Verdana" w:cs="Tahoma"/>
          <w:sz w:val="20"/>
          <w:szCs w:val="20"/>
        </w:rPr>
        <w:t xml:space="preserve">broader </w:t>
      </w:r>
      <w:r w:rsidRPr="00912192">
        <w:rPr>
          <w:rFonts w:ascii="Verdana" w:hAnsi="Verdana" w:cs="Tahoma"/>
          <w:sz w:val="20"/>
          <w:szCs w:val="20"/>
        </w:rPr>
        <w:t xml:space="preserve">activities the Club undertakes </w:t>
      </w:r>
      <w:r w:rsidR="00912192">
        <w:rPr>
          <w:rFonts w:ascii="Verdana" w:hAnsi="Verdana" w:cs="Tahoma"/>
          <w:sz w:val="20"/>
          <w:szCs w:val="20"/>
        </w:rPr>
        <w:t xml:space="preserve">in promoting and governing Flyball in Australia by </w:t>
      </w:r>
      <w:r w:rsidR="00912192" w:rsidRPr="00912192">
        <w:rPr>
          <w:rFonts w:ascii="Verdana" w:hAnsi="Verdana" w:cs="Tahoma"/>
          <w:sz w:val="20"/>
          <w:szCs w:val="20"/>
        </w:rPr>
        <w:t>approv</w:t>
      </w:r>
      <w:r w:rsidR="00912192">
        <w:rPr>
          <w:rFonts w:ascii="Verdana" w:hAnsi="Verdana" w:cs="Tahoma"/>
          <w:sz w:val="20"/>
          <w:szCs w:val="20"/>
        </w:rPr>
        <w:t>ing</w:t>
      </w:r>
      <w:r w:rsidR="00912192" w:rsidRPr="00912192">
        <w:rPr>
          <w:rFonts w:ascii="Verdana" w:hAnsi="Verdana" w:cs="Tahoma"/>
          <w:sz w:val="20"/>
          <w:szCs w:val="20"/>
        </w:rPr>
        <w:t xml:space="preserve"> by resolution</w:t>
      </w:r>
      <w:r w:rsidR="00912192">
        <w:rPr>
          <w:rFonts w:ascii="Verdana" w:hAnsi="Verdana" w:cs="Tahoma"/>
          <w:sz w:val="20"/>
          <w:szCs w:val="20"/>
        </w:rPr>
        <w:t xml:space="preserve"> the fol</w:t>
      </w:r>
      <w:r w:rsidRPr="00912192">
        <w:rPr>
          <w:rFonts w:ascii="Verdana" w:hAnsi="Verdana" w:cs="Tahoma"/>
          <w:sz w:val="20"/>
          <w:szCs w:val="20"/>
        </w:rPr>
        <w:t>lowing amendments and additions to Rules 2 and 4 of the current Constitution</w:t>
      </w:r>
      <w:r w:rsidR="00912192">
        <w:rPr>
          <w:rFonts w:ascii="Verdana" w:hAnsi="Verdana" w:cs="Tahoma"/>
          <w:sz w:val="20"/>
          <w:szCs w:val="20"/>
        </w:rPr>
        <w:t>:</w:t>
      </w:r>
    </w:p>
    <w:p w14:paraId="0E9773D0" w14:textId="77777777" w:rsidR="00912192" w:rsidRPr="00912192" w:rsidRDefault="00912192" w:rsidP="00912192">
      <w:pPr>
        <w:pStyle w:val="ListParagraph"/>
        <w:numPr>
          <w:ilvl w:val="0"/>
          <w:numId w:val="9"/>
        </w:numPr>
        <w:rPr>
          <w:rFonts w:ascii="Verdana" w:hAnsi="Verdana" w:cs="Tahoma"/>
          <w:sz w:val="20"/>
          <w:szCs w:val="20"/>
        </w:rPr>
      </w:pPr>
      <w:r w:rsidRPr="00912192">
        <w:rPr>
          <w:rFonts w:ascii="Verdana" w:hAnsi="Verdana" w:cs="Tahoma"/>
          <w:sz w:val="20"/>
          <w:szCs w:val="20"/>
        </w:rPr>
        <w:t>Including in Rule 2(a) under Interpretation the definition of “Executive Committee” that states the Executive Committee “comprises the Office Bearers of the Club”</w:t>
      </w:r>
    </w:p>
    <w:p w14:paraId="63429BC5" w14:textId="77777777" w:rsidR="00FD0CB1" w:rsidRPr="00912192" w:rsidRDefault="00FD0CB1" w:rsidP="00912192">
      <w:pPr>
        <w:pStyle w:val="ListParagraph"/>
        <w:numPr>
          <w:ilvl w:val="0"/>
          <w:numId w:val="9"/>
        </w:numPr>
        <w:rPr>
          <w:rFonts w:ascii="Verdana" w:hAnsi="Verdana" w:cs="Tahoma"/>
          <w:sz w:val="20"/>
          <w:szCs w:val="20"/>
        </w:rPr>
      </w:pPr>
      <w:r w:rsidRPr="00912192">
        <w:rPr>
          <w:rFonts w:ascii="Verdana" w:hAnsi="Verdana" w:cs="Tahoma"/>
          <w:sz w:val="20"/>
          <w:szCs w:val="20"/>
        </w:rPr>
        <w:t>Including in Rule 2(a) under Interpretation the definition of “Flyball events”</w:t>
      </w:r>
    </w:p>
    <w:p w14:paraId="0D5ED107" w14:textId="77777777" w:rsidR="00912192" w:rsidRPr="00912192" w:rsidRDefault="00912192" w:rsidP="00912192">
      <w:pPr>
        <w:pStyle w:val="ListParagraph"/>
        <w:numPr>
          <w:ilvl w:val="0"/>
          <w:numId w:val="9"/>
        </w:numPr>
        <w:rPr>
          <w:rFonts w:ascii="Verdana" w:hAnsi="Verdana" w:cs="Tahoma"/>
          <w:sz w:val="20"/>
          <w:szCs w:val="20"/>
        </w:rPr>
      </w:pPr>
      <w:r w:rsidRPr="00912192">
        <w:rPr>
          <w:rFonts w:ascii="Verdana" w:hAnsi="Verdana" w:cs="Tahoma"/>
          <w:sz w:val="20"/>
          <w:szCs w:val="20"/>
        </w:rPr>
        <w:t>Including in Rule 2(a) under Interpretation the definition of “Office bearers” that states the Office bearers of the Club “comprises the President, Vice President, Secretary and Treasurer“</w:t>
      </w:r>
    </w:p>
    <w:p w14:paraId="0985A1B5" w14:textId="77777777" w:rsidR="00912192" w:rsidRPr="00912192" w:rsidRDefault="00912192" w:rsidP="00912192">
      <w:pPr>
        <w:pStyle w:val="ListParagraph"/>
        <w:numPr>
          <w:ilvl w:val="0"/>
          <w:numId w:val="9"/>
        </w:numPr>
        <w:rPr>
          <w:rFonts w:ascii="Verdana" w:hAnsi="Verdana" w:cs="Tahoma"/>
          <w:sz w:val="20"/>
          <w:szCs w:val="20"/>
        </w:rPr>
      </w:pPr>
      <w:r w:rsidRPr="00912192">
        <w:rPr>
          <w:rFonts w:ascii="Verdana" w:hAnsi="Verdana" w:cs="Tahoma"/>
          <w:sz w:val="20"/>
          <w:szCs w:val="20"/>
        </w:rPr>
        <w:t>Including in Rule 2(a) under Interpretation the definition of “Regional Representative”  that states a regional representative “is a person elected by the members within a State or Territory in which they reside and there is at least one affiliated club within that State or Territory”</w:t>
      </w:r>
    </w:p>
    <w:p w14:paraId="66995E04" w14:textId="77777777" w:rsidR="00FD0CB1" w:rsidRPr="00912192" w:rsidRDefault="00FD0CB1" w:rsidP="00912192">
      <w:pPr>
        <w:pStyle w:val="ListParagraph"/>
        <w:numPr>
          <w:ilvl w:val="0"/>
          <w:numId w:val="9"/>
        </w:numPr>
        <w:rPr>
          <w:rFonts w:ascii="Verdana" w:hAnsi="Verdana" w:cs="Tahoma"/>
          <w:sz w:val="20"/>
          <w:szCs w:val="20"/>
        </w:rPr>
      </w:pPr>
      <w:r w:rsidRPr="00912192">
        <w:rPr>
          <w:rFonts w:ascii="Verdana" w:hAnsi="Verdana" w:cs="Tahoma"/>
          <w:sz w:val="20"/>
          <w:szCs w:val="20"/>
        </w:rPr>
        <w:t>Amending Rule 4(a)(i) under Objectives by replacing “tournaments” with “Flyball events”</w:t>
      </w:r>
    </w:p>
    <w:p w14:paraId="24B8A150" w14:textId="77777777" w:rsidR="00FD0CB1" w:rsidRPr="00912192" w:rsidRDefault="00FD0CB1" w:rsidP="00912192">
      <w:pPr>
        <w:pStyle w:val="ListParagraph"/>
        <w:numPr>
          <w:ilvl w:val="0"/>
          <w:numId w:val="9"/>
        </w:numPr>
        <w:rPr>
          <w:rFonts w:ascii="Verdana" w:hAnsi="Verdana" w:cs="Tahoma"/>
          <w:sz w:val="20"/>
          <w:szCs w:val="20"/>
        </w:rPr>
      </w:pPr>
      <w:r w:rsidRPr="00912192">
        <w:rPr>
          <w:rFonts w:ascii="Verdana" w:hAnsi="Verdana" w:cs="Tahoma"/>
          <w:sz w:val="20"/>
          <w:szCs w:val="20"/>
        </w:rPr>
        <w:t>Replacing Rule 4(b)(ii) under Objectives by replacing “Participates in Flyball” with Conduct, participate in and support Flyball events”</w:t>
      </w:r>
    </w:p>
    <w:p w14:paraId="5A113614" w14:textId="77777777" w:rsidR="00FD0CB1" w:rsidRPr="00912192" w:rsidRDefault="00FD0CB1" w:rsidP="00912192">
      <w:pPr>
        <w:pStyle w:val="ListParagraph"/>
        <w:numPr>
          <w:ilvl w:val="0"/>
          <w:numId w:val="9"/>
        </w:numPr>
        <w:rPr>
          <w:rFonts w:ascii="Verdana" w:hAnsi="Verdana" w:cs="Tahoma"/>
          <w:sz w:val="20"/>
          <w:szCs w:val="20"/>
        </w:rPr>
      </w:pPr>
      <w:r w:rsidRPr="00912192">
        <w:rPr>
          <w:rFonts w:ascii="Verdana" w:hAnsi="Verdana" w:cs="Tahoma"/>
          <w:sz w:val="20"/>
          <w:szCs w:val="20"/>
        </w:rPr>
        <w:t>Replacing Rule 4(b</w:t>
      </w:r>
      <w:r w:rsidR="00691AB1" w:rsidRPr="00912192">
        <w:rPr>
          <w:rFonts w:ascii="Verdana" w:hAnsi="Verdana" w:cs="Tahoma"/>
          <w:sz w:val="20"/>
          <w:szCs w:val="20"/>
        </w:rPr>
        <w:t>) (</w:t>
      </w:r>
      <w:r w:rsidRPr="00912192">
        <w:rPr>
          <w:rFonts w:ascii="Verdana" w:hAnsi="Verdana" w:cs="Tahoma"/>
          <w:sz w:val="20"/>
          <w:szCs w:val="20"/>
        </w:rPr>
        <w:t>iii) under Objectives by replacing “Conduct and/or Sanction Flyball competitions” with “Approve and sanction Flyball events”.</w:t>
      </w:r>
    </w:p>
    <w:p w14:paraId="61548A0F" w14:textId="77777777" w:rsidR="00912192" w:rsidRPr="00912192" w:rsidRDefault="00912192" w:rsidP="00912192">
      <w:pPr>
        <w:pStyle w:val="ListParagraph"/>
        <w:numPr>
          <w:ilvl w:val="0"/>
          <w:numId w:val="9"/>
        </w:numPr>
        <w:rPr>
          <w:rFonts w:ascii="Verdana" w:hAnsi="Verdana" w:cs="Tahoma"/>
          <w:sz w:val="20"/>
          <w:szCs w:val="20"/>
        </w:rPr>
      </w:pPr>
      <w:r w:rsidRPr="00912192">
        <w:rPr>
          <w:rFonts w:ascii="Verdana" w:hAnsi="Verdana" w:cs="Tahoma"/>
          <w:sz w:val="20"/>
          <w:szCs w:val="20"/>
        </w:rPr>
        <w:t>Amending Rule4 (b) (vi) (iii) under Objectives by replacing “competitions, demonstrations and training” with “Flyball events”. Amend Rule 4(c)(vi) under Objectives by replacing “Trustee Ordinance 1957”with “</w:t>
      </w:r>
      <w:r w:rsidRPr="00912192">
        <w:rPr>
          <w:rFonts w:ascii="Verdana" w:hAnsi="Verdana" w:cs="Tahoma"/>
          <w:i/>
          <w:sz w:val="20"/>
          <w:szCs w:val="20"/>
        </w:rPr>
        <w:t>Public Trustee and Guardian Act 1985</w:t>
      </w:r>
      <w:r w:rsidRPr="00912192">
        <w:rPr>
          <w:rFonts w:ascii="Verdana" w:hAnsi="Verdana" w:cs="Tahoma"/>
          <w:sz w:val="20"/>
          <w:szCs w:val="20"/>
        </w:rPr>
        <w:t xml:space="preserve"> (ACT)”</w:t>
      </w:r>
    </w:p>
    <w:p w14:paraId="034157C4" w14:textId="77777777" w:rsidR="00912192" w:rsidRPr="00912192" w:rsidRDefault="00912192" w:rsidP="00912192">
      <w:pPr>
        <w:pStyle w:val="ListParagraph"/>
        <w:numPr>
          <w:ilvl w:val="0"/>
          <w:numId w:val="9"/>
        </w:numPr>
        <w:rPr>
          <w:rFonts w:ascii="Verdana" w:hAnsi="Verdana" w:cs="Tahoma"/>
          <w:sz w:val="20"/>
          <w:szCs w:val="20"/>
        </w:rPr>
      </w:pPr>
      <w:r w:rsidRPr="00912192">
        <w:rPr>
          <w:rFonts w:ascii="Verdana" w:hAnsi="Verdana" w:cs="Tahoma"/>
          <w:sz w:val="20"/>
          <w:szCs w:val="20"/>
        </w:rPr>
        <w:t>Amend Rule 4(c)) (vii) under Objectives by replacing “paragraph (a) of sub-section (1) of section 78 of the Income Tax Assessment Act 1936”with “</w:t>
      </w:r>
      <w:r w:rsidRPr="00912192">
        <w:rPr>
          <w:rFonts w:ascii="Verdana" w:hAnsi="Verdana" w:cs="Tahoma"/>
          <w:i/>
          <w:sz w:val="20"/>
          <w:szCs w:val="20"/>
        </w:rPr>
        <w:t>Division 30 of the  Income Tax Assessment Act 1997</w:t>
      </w:r>
      <w:r w:rsidRPr="00912192">
        <w:rPr>
          <w:rFonts w:ascii="Verdana" w:hAnsi="Verdana" w:cs="Tahoma"/>
          <w:sz w:val="20"/>
          <w:szCs w:val="20"/>
        </w:rPr>
        <w:t xml:space="preserve"> (Cwth)” </w:t>
      </w:r>
    </w:p>
    <w:p w14:paraId="7CD0A668" w14:textId="77777777" w:rsidR="00912192" w:rsidRPr="00912192" w:rsidRDefault="00912192" w:rsidP="00912192">
      <w:pPr>
        <w:pStyle w:val="ListParagraph"/>
        <w:numPr>
          <w:ilvl w:val="0"/>
          <w:numId w:val="9"/>
        </w:numPr>
        <w:rPr>
          <w:rFonts w:ascii="Verdana" w:hAnsi="Verdana" w:cs="Tahoma"/>
          <w:sz w:val="20"/>
          <w:szCs w:val="20"/>
        </w:rPr>
      </w:pPr>
      <w:r w:rsidRPr="00912192">
        <w:rPr>
          <w:rFonts w:ascii="Verdana" w:hAnsi="Verdana" w:cs="Tahoma"/>
          <w:sz w:val="20"/>
          <w:szCs w:val="20"/>
        </w:rPr>
        <w:t>References to “Committee” in Rule 4 and its subsections are amended to “General Committee”</w:t>
      </w:r>
      <w:r>
        <w:rPr>
          <w:rFonts w:ascii="Verdana" w:hAnsi="Verdana" w:cs="Tahoma"/>
          <w:sz w:val="20"/>
          <w:szCs w:val="20"/>
        </w:rPr>
        <w:t>.</w:t>
      </w:r>
    </w:p>
    <w:p w14:paraId="6B8CEA6D" w14:textId="77777777" w:rsidR="00912192" w:rsidRPr="00912192" w:rsidRDefault="00912192" w:rsidP="00912192">
      <w:pPr>
        <w:pStyle w:val="Heading2"/>
        <w:ind w:left="0" w:firstLine="0"/>
        <w:rPr>
          <w:rFonts w:ascii="Verdana" w:hAnsi="Verdana" w:cs="Tahoma"/>
        </w:rPr>
      </w:pPr>
      <w:r w:rsidRPr="00912192">
        <w:rPr>
          <w:rFonts w:ascii="Verdana" w:hAnsi="Verdana" w:cs="Tahoma"/>
        </w:rPr>
        <w:lastRenderedPageBreak/>
        <w:t xml:space="preserve">MOTION </w:t>
      </w:r>
      <w:r>
        <w:rPr>
          <w:rFonts w:ascii="Verdana" w:hAnsi="Verdana" w:cs="Tahoma"/>
        </w:rPr>
        <w:t>2</w:t>
      </w:r>
      <w:r w:rsidRPr="00912192">
        <w:rPr>
          <w:rFonts w:ascii="Verdana" w:hAnsi="Verdana" w:cs="Tahoma"/>
        </w:rPr>
        <w:t>.</w:t>
      </w:r>
    </w:p>
    <w:p w14:paraId="180A581A" w14:textId="77777777" w:rsidR="00912192" w:rsidRPr="00912192" w:rsidRDefault="00912192" w:rsidP="00912192">
      <w:pPr>
        <w:rPr>
          <w:rFonts w:ascii="Verdana" w:hAnsi="Verdana" w:cs="Tahoma"/>
          <w:sz w:val="20"/>
        </w:rPr>
      </w:pPr>
    </w:p>
    <w:p w14:paraId="5FE2A4B3" w14:textId="77777777" w:rsidR="00912192" w:rsidRPr="00912192" w:rsidRDefault="00912192" w:rsidP="00912192">
      <w:pPr>
        <w:rPr>
          <w:rFonts w:ascii="Verdana" w:hAnsi="Verdana" w:cs="Tahoma"/>
          <w:sz w:val="20"/>
          <w:szCs w:val="20"/>
        </w:rPr>
      </w:pPr>
      <w:r w:rsidRPr="00912192">
        <w:rPr>
          <w:rFonts w:ascii="Verdana" w:hAnsi="Verdana" w:cs="Tahoma"/>
          <w:sz w:val="20"/>
          <w:szCs w:val="20"/>
        </w:rPr>
        <w:t xml:space="preserve">In accordance with Rule 5(b) of the Constitution any resolution adding to, repealing or mending provisions relating </w:t>
      </w:r>
      <w:r>
        <w:rPr>
          <w:rFonts w:ascii="Verdana" w:hAnsi="Verdana" w:cs="Tahoma"/>
          <w:sz w:val="20"/>
          <w:szCs w:val="20"/>
        </w:rPr>
        <w:t xml:space="preserve">rules other than </w:t>
      </w:r>
      <w:r w:rsidRPr="00912192">
        <w:rPr>
          <w:rFonts w:ascii="Verdana" w:hAnsi="Verdana" w:cs="Tahoma"/>
          <w:sz w:val="20"/>
          <w:szCs w:val="20"/>
        </w:rPr>
        <w:t xml:space="preserve">the objectives </w:t>
      </w:r>
      <w:r>
        <w:rPr>
          <w:rFonts w:ascii="Verdana" w:hAnsi="Verdana" w:cs="Tahoma"/>
          <w:sz w:val="20"/>
          <w:szCs w:val="20"/>
        </w:rPr>
        <w:t xml:space="preserve">of the Club </w:t>
      </w:r>
      <w:r w:rsidRPr="00912192">
        <w:rPr>
          <w:rFonts w:ascii="Verdana" w:hAnsi="Verdana" w:cs="Tahoma"/>
          <w:sz w:val="20"/>
          <w:szCs w:val="20"/>
        </w:rPr>
        <w:t xml:space="preserve">requires a majority of </w:t>
      </w:r>
      <w:r>
        <w:rPr>
          <w:rFonts w:ascii="Verdana" w:hAnsi="Verdana" w:cs="Tahoma"/>
          <w:sz w:val="20"/>
          <w:szCs w:val="20"/>
        </w:rPr>
        <w:t>two-thirds</w:t>
      </w:r>
      <w:r w:rsidRPr="00912192">
        <w:rPr>
          <w:rFonts w:ascii="Verdana" w:hAnsi="Verdana" w:cs="Tahoma"/>
          <w:sz w:val="20"/>
          <w:szCs w:val="20"/>
        </w:rPr>
        <w:t xml:space="preserve"> of the members present at the meeting where the resolution will be voted upon.</w:t>
      </w:r>
    </w:p>
    <w:p w14:paraId="14D55D44" w14:textId="77777777" w:rsidR="00912192" w:rsidRPr="00912192" w:rsidRDefault="00912192" w:rsidP="00912192">
      <w:pPr>
        <w:rPr>
          <w:rFonts w:ascii="Verdana" w:hAnsi="Verdana" w:cs="Tahoma"/>
        </w:rPr>
      </w:pPr>
    </w:p>
    <w:p w14:paraId="5867C54E" w14:textId="77777777" w:rsidR="00BE5A04" w:rsidRPr="00912192" w:rsidRDefault="00BE5A04" w:rsidP="00BE5A04">
      <w:pPr>
        <w:rPr>
          <w:rFonts w:ascii="Verdana" w:hAnsi="Verdana" w:cs="Tahoma"/>
          <w:b/>
          <w:sz w:val="20"/>
          <w:szCs w:val="20"/>
        </w:rPr>
      </w:pPr>
      <w:r w:rsidRPr="00912192">
        <w:rPr>
          <w:rFonts w:ascii="Verdana" w:hAnsi="Verdana" w:cs="Tahoma"/>
          <w:b/>
          <w:sz w:val="20"/>
          <w:szCs w:val="20"/>
        </w:rPr>
        <w:t>The motion is:</w:t>
      </w:r>
    </w:p>
    <w:p w14:paraId="200925BE" w14:textId="77777777" w:rsidR="00BE5A04" w:rsidRPr="00912192" w:rsidRDefault="00BE5A04" w:rsidP="00BE5A04">
      <w:pPr>
        <w:rPr>
          <w:rFonts w:ascii="Verdana" w:hAnsi="Verdana" w:cs="Tahoma"/>
          <w:sz w:val="20"/>
          <w:szCs w:val="20"/>
        </w:rPr>
      </w:pPr>
    </w:p>
    <w:p w14:paraId="19F9ACCA" w14:textId="77777777" w:rsidR="00BE5A04" w:rsidRDefault="00BE5A04" w:rsidP="00BE5A04">
      <w:pPr>
        <w:pStyle w:val="CommentText"/>
        <w:numPr>
          <w:ilvl w:val="0"/>
          <w:numId w:val="10"/>
        </w:numPr>
        <w:rPr>
          <w:rFonts w:ascii="Verdana" w:hAnsi="Verdana" w:cs="Tahoma"/>
        </w:rPr>
      </w:pPr>
      <w:r w:rsidRPr="00912192">
        <w:rPr>
          <w:rFonts w:ascii="Verdana" w:hAnsi="Verdana" w:cs="Tahoma"/>
        </w:rPr>
        <w:t xml:space="preserve">The </w:t>
      </w:r>
      <w:r>
        <w:rPr>
          <w:rFonts w:ascii="Verdana" w:hAnsi="Verdana" w:cs="Tahoma"/>
        </w:rPr>
        <w:t>following amendments, additions and/or deletions to rules of the Constitution are approved by resolution to mend inconsistencies between rules, provide clarity between references to committees and meetings and remove rule duplication:</w:t>
      </w:r>
    </w:p>
    <w:p w14:paraId="1A666ECB" w14:textId="77777777" w:rsidR="00BE5A04" w:rsidRPr="00912192" w:rsidRDefault="00BE5A04" w:rsidP="00BE5A04">
      <w:pPr>
        <w:pStyle w:val="CommentText"/>
        <w:rPr>
          <w:rFonts w:ascii="Verdana" w:hAnsi="Verdana" w:cs="Tahoma"/>
          <w:b/>
          <w:i/>
        </w:rPr>
      </w:pPr>
    </w:p>
    <w:p w14:paraId="66B51811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References to “Committee” in Rule 5 are amended to “General Committee”</w:t>
      </w:r>
    </w:p>
    <w:p w14:paraId="4C693877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References to “Committee” in Rule 6 and its subsections are amended to “General Committee”</w:t>
      </w:r>
    </w:p>
    <w:p w14:paraId="7BA80378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References to “Committee” in Rule 8 and its subsections are amended to “General Committee”</w:t>
      </w:r>
    </w:p>
    <w:p w14:paraId="779A156A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References to “Committee” in Rule 9 are amended to “General Committee”</w:t>
      </w:r>
    </w:p>
    <w:p w14:paraId="6D348967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References to “Committee” in Rule 10 are amended to “General Committee”</w:t>
      </w:r>
    </w:p>
    <w:p w14:paraId="1388250A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References to “Committee” in Rule 13 and its subsections are amended to “General Committee”</w:t>
      </w:r>
    </w:p>
    <w:p w14:paraId="6901A468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References to “Committee” in Rule 14 and its subsections are amended to “General Committee”</w:t>
      </w:r>
    </w:p>
    <w:p w14:paraId="7F0D1753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References to “Committee” in Rule 15 and its subsections are amended to “General Committee”</w:t>
      </w:r>
    </w:p>
    <w:p w14:paraId="3444BA6C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Rule 16 is retitled “General Committee”</w:t>
      </w:r>
    </w:p>
    <w:p w14:paraId="4BB09108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Replace Rule 16 with “The General Committee of the Club shall consist of the members of the Executive Committee, seven ordinary members and elected State or Territory Regional Representatives”</w:t>
      </w:r>
    </w:p>
    <w:p w14:paraId="4FB8CAE7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Rule 17 is retitled “Election of General Committee Members</w:t>
      </w:r>
    </w:p>
    <w:p w14:paraId="7F4CE870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Re-order Rules 17(f) and 17(g) so that 17(g) becomes 17(f) and 17(f) becomes 17(g).</w:t>
      </w:r>
    </w:p>
    <w:p w14:paraId="447E1FCD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Insert a new Rule 17(h) that states “If a Regional Representative’s position becomes vacant it may be filled temporarily by the General Committee in accordance with appointment rules for a Regional Representative. The replacement can’t be an existing General Committee member. The replacement Regional Representative shall exercise all the rights and privileges of elected members of the General Committee.”</w:t>
      </w:r>
    </w:p>
    <w:p w14:paraId="3596D2EA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References to “Committee” in Rules 17(b), 17(c), 17(e) and 17(g) are amended to “General Committee”</w:t>
      </w:r>
    </w:p>
    <w:p w14:paraId="762633DF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Rule 18 is retitled “The Duties of the General Committee Members”</w:t>
      </w:r>
    </w:p>
    <w:p w14:paraId="32A0DC30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References to “Committee” in Rules 18(a), 18(f), 18(g), 18(i), 18(i) and 18(k) are amended to “General Committee”</w:t>
      </w:r>
    </w:p>
    <w:p w14:paraId="602BDFBF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Amend Rule 18(g) under The Duties of the Committee Members by replacing “President, the Vice-President, the Treasurer, and the Secretary are the officer bearers of the Club and constitute an executive committee which” with “Executive Committee”.</w:t>
      </w:r>
    </w:p>
    <w:p w14:paraId="0E339914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Amend Rule 18(i) to include the sentence “All members of the General Committee will be invited to all meetings of the General Committee”.</w:t>
      </w:r>
    </w:p>
    <w:p w14:paraId="6C843CF3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Amend Rule 18(d)(iii) by replacing “Committee and” with “Executive Committee, General Committee and general meetings”</w:t>
      </w:r>
    </w:p>
    <w:p w14:paraId="28232852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References to “Committee” in Rule 19 and its subsections are amended to “General Committee”</w:t>
      </w:r>
    </w:p>
    <w:p w14:paraId="67CE96F2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Rule 20 is retitled to “Removal of General Committee Members”</w:t>
      </w:r>
    </w:p>
    <w:p w14:paraId="7B81B4DA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References to “Committee” in Rule 20 are amended to “General Committee”</w:t>
      </w:r>
    </w:p>
    <w:p w14:paraId="3A040176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Rule 21 is retitled to “Powers of the General Committee Members”</w:t>
      </w:r>
    </w:p>
    <w:p w14:paraId="46B8E5DB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lastRenderedPageBreak/>
        <w:t>References to “Committee” in Rule 21 and its subsections are amended to “General Committee”</w:t>
      </w:r>
    </w:p>
    <w:p w14:paraId="3E56E22B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Rule 22 is retitled “General Meetings of the Club”</w:t>
      </w:r>
    </w:p>
    <w:p w14:paraId="262F5CC5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References to “Committee” in Rule 22 and its subsections are amended to “General Committee”</w:t>
      </w:r>
    </w:p>
    <w:p w14:paraId="0206C08C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References to “meeting” in Rule 22(d), 22(e), 22(f), 22(g) and 22(h) are amended to “general meeting”</w:t>
      </w:r>
    </w:p>
    <w:p w14:paraId="58155934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Amend Rule 22(i) under General Meetings by replacing the entire existing text with “Voting at a general meeting will be conducted in accordance with Rile 23 – Voting”.</w:t>
      </w:r>
    </w:p>
    <w:p w14:paraId="460C0F63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References to “Committee” in Rule 23 and its subsections are amended to “General Committee”</w:t>
      </w:r>
    </w:p>
    <w:p w14:paraId="57B71E3B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Amend Rule 23(b) under Voting by replacing “, the confirmation of a conditional suspension or dismissal of a Member of the Committee” with “or the election of Honorary Life Members”.</w:t>
      </w:r>
    </w:p>
    <w:p w14:paraId="270FB266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References to “Committee” in Rule 24 and its subsections are amended to “General Committee”</w:t>
      </w:r>
    </w:p>
    <w:p w14:paraId="203BBB4A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References to “Committee” in Rule 26 and its subsections are amended to “General Committee”</w:t>
      </w:r>
    </w:p>
    <w:p w14:paraId="2E8CBD42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References to “Committee” in Rule 27 are amended to “General Committee”</w:t>
      </w:r>
    </w:p>
    <w:p w14:paraId="6845495E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References to “Committee” in Rule 29 and its subsections are amended to “General Committee”</w:t>
      </w:r>
    </w:p>
    <w:p w14:paraId="451C846C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References to “Committee” in Rule 30 and its subsections are amended to “General Committee”</w:t>
      </w:r>
    </w:p>
    <w:p w14:paraId="721104F0" w14:textId="77777777" w:rsidR="00BE5A04" w:rsidRPr="00BE5A04" w:rsidRDefault="00BE5A04" w:rsidP="00BE5A0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E5A04">
        <w:rPr>
          <w:rFonts w:ascii="Verdana" w:hAnsi="Verdana"/>
          <w:sz w:val="20"/>
          <w:szCs w:val="20"/>
        </w:rPr>
        <w:t>References to “Committee” in Rule 34 and its subsections are amended to “General Committee”</w:t>
      </w:r>
      <w:r>
        <w:rPr>
          <w:rFonts w:ascii="Verdana" w:hAnsi="Verdana"/>
          <w:sz w:val="20"/>
          <w:szCs w:val="20"/>
        </w:rPr>
        <w:t>.</w:t>
      </w:r>
    </w:p>
    <w:p w14:paraId="11F76600" w14:textId="77777777" w:rsidR="00FD0CB1" w:rsidRPr="00912192" w:rsidRDefault="00FD0CB1" w:rsidP="00BE5A04">
      <w:pPr>
        <w:rPr>
          <w:b/>
          <w:bCs/>
          <w:sz w:val="24"/>
          <w:szCs w:val="24"/>
        </w:rPr>
      </w:pPr>
    </w:p>
    <w:p w14:paraId="5B10B663" w14:textId="77777777" w:rsidR="00FD0CB1" w:rsidRPr="00912192" w:rsidRDefault="00FD0CB1" w:rsidP="00912192">
      <w:pPr>
        <w:pStyle w:val="Heading2"/>
        <w:rPr>
          <w:rFonts w:ascii="Verdana" w:hAnsi="Verdana" w:cs="Tahoma"/>
          <w:sz w:val="20"/>
        </w:rPr>
      </w:pPr>
      <w:r w:rsidRPr="00912192">
        <w:rPr>
          <w:rFonts w:ascii="Verdana" w:hAnsi="Verdana" w:cs="Tahoma"/>
        </w:rPr>
        <w:t xml:space="preserve"> </w:t>
      </w:r>
    </w:p>
    <w:p w14:paraId="2B31CA22" w14:textId="77777777" w:rsidR="00FD0CB1" w:rsidRPr="00912192" w:rsidRDefault="00FD0CB1" w:rsidP="00FD0CB1">
      <w:pPr>
        <w:rPr>
          <w:rFonts w:ascii="Verdana" w:hAnsi="Verdana" w:cs="Tahoma"/>
          <w:sz w:val="20"/>
        </w:rPr>
      </w:pPr>
    </w:p>
    <w:p w14:paraId="30244FD9" w14:textId="77777777" w:rsidR="00FD0CB1" w:rsidRPr="00912192" w:rsidRDefault="00FD0CB1" w:rsidP="00FD0CB1">
      <w:pPr>
        <w:rPr>
          <w:rFonts w:ascii="Verdana" w:hAnsi="Verdana" w:cs="Tahoma"/>
          <w:sz w:val="20"/>
        </w:rPr>
      </w:pPr>
    </w:p>
    <w:p w14:paraId="7C17F4F8" w14:textId="77777777" w:rsidR="00FD0CB1" w:rsidRPr="00912192" w:rsidRDefault="00FD0CB1">
      <w:pPr>
        <w:widowControl/>
        <w:autoSpaceDE/>
        <w:autoSpaceDN/>
        <w:spacing w:after="200" w:line="276" w:lineRule="auto"/>
        <w:rPr>
          <w:rFonts w:ascii="Verdana" w:eastAsiaTheme="majorEastAsia" w:hAnsi="Verdana" w:cs="Tahoma"/>
          <w:b/>
          <w:bCs/>
          <w:color w:val="4F81BD" w:themeColor="accent1"/>
        </w:rPr>
      </w:pPr>
    </w:p>
    <w:p w14:paraId="3E1DD6B0" w14:textId="77777777" w:rsidR="00FD0CB1" w:rsidRPr="00912192" w:rsidRDefault="00FD0CB1" w:rsidP="00FD0CB1">
      <w:pPr>
        <w:rPr>
          <w:rFonts w:ascii="Verdana" w:hAnsi="Verdana" w:cs="Tahoma"/>
          <w:sz w:val="20"/>
        </w:rPr>
      </w:pPr>
    </w:p>
    <w:p w14:paraId="19C1FCE0" w14:textId="77777777" w:rsidR="00FD0CB1" w:rsidRPr="00912192" w:rsidRDefault="00FD0CB1" w:rsidP="00FD0CB1">
      <w:pPr>
        <w:rPr>
          <w:rFonts w:ascii="Verdana" w:hAnsi="Verdana" w:cs="Tahoma"/>
          <w:sz w:val="20"/>
        </w:rPr>
      </w:pPr>
    </w:p>
    <w:sectPr w:rsidR="00FD0CB1" w:rsidRPr="00912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0CA"/>
    <w:multiLevelType w:val="hybridMultilevel"/>
    <w:tmpl w:val="267CD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788C"/>
    <w:multiLevelType w:val="hybridMultilevel"/>
    <w:tmpl w:val="C78A96D2"/>
    <w:lvl w:ilvl="0" w:tplc="0C09000F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" w15:restartNumberingAfterBreak="0">
    <w:nsid w:val="1C50620B"/>
    <w:multiLevelType w:val="hybridMultilevel"/>
    <w:tmpl w:val="0E9027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D768A"/>
    <w:multiLevelType w:val="hybridMultilevel"/>
    <w:tmpl w:val="C78A96D2"/>
    <w:lvl w:ilvl="0" w:tplc="0C09000F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" w15:restartNumberingAfterBreak="0">
    <w:nsid w:val="3A870E6C"/>
    <w:multiLevelType w:val="hybridMultilevel"/>
    <w:tmpl w:val="0E9027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0EDC"/>
    <w:multiLevelType w:val="hybridMultilevel"/>
    <w:tmpl w:val="608061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5518E"/>
    <w:multiLevelType w:val="hybridMultilevel"/>
    <w:tmpl w:val="16B6B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E3091"/>
    <w:multiLevelType w:val="hybridMultilevel"/>
    <w:tmpl w:val="D6C4BC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442E9"/>
    <w:multiLevelType w:val="hybridMultilevel"/>
    <w:tmpl w:val="C78A96D2"/>
    <w:lvl w:ilvl="0" w:tplc="0C09000F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9" w15:restartNumberingAfterBreak="0">
    <w:nsid w:val="6DF778BF"/>
    <w:multiLevelType w:val="hybridMultilevel"/>
    <w:tmpl w:val="FEE67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CB1"/>
    <w:rsid w:val="006847AC"/>
    <w:rsid w:val="00691AB1"/>
    <w:rsid w:val="00786D86"/>
    <w:rsid w:val="00912192"/>
    <w:rsid w:val="009B6A9C"/>
    <w:rsid w:val="00A15194"/>
    <w:rsid w:val="00A4230C"/>
    <w:rsid w:val="00B02056"/>
    <w:rsid w:val="00BE5A04"/>
    <w:rsid w:val="00E30EBB"/>
    <w:rsid w:val="00F6732D"/>
    <w:rsid w:val="00FB3CB5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23AF"/>
  <w15:docId w15:val="{FEC242AF-720C-9A4F-80E0-8FD30B96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0C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paragraph" w:styleId="Heading1">
    <w:name w:val="heading 1"/>
    <w:basedOn w:val="Normal"/>
    <w:link w:val="Heading1Char"/>
    <w:uiPriority w:val="1"/>
    <w:qFormat/>
    <w:rsid w:val="00FD0CB1"/>
    <w:pPr>
      <w:spacing w:before="232"/>
      <w:ind w:left="310" w:firstLine="2079"/>
      <w:outlineLvl w:val="0"/>
    </w:pPr>
    <w:rPr>
      <w:rFonts w:ascii="Cambria" w:eastAsia="Cambria" w:hAnsi="Cambria" w:cs="Cambria"/>
      <w:sz w:val="64"/>
      <w:szCs w:val="64"/>
    </w:rPr>
  </w:style>
  <w:style w:type="paragraph" w:styleId="Heading2">
    <w:name w:val="heading 2"/>
    <w:basedOn w:val="Normal"/>
    <w:link w:val="Heading2Char"/>
    <w:uiPriority w:val="1"/>
    <w:qFormat/>
    <w:rsid w:val="00FD0CB1"/>
    <w:pPr>
      <w:spacing w:before="201"/>
      <w:ind w:left="473" w:hanging="3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0CB1"/>
    <w:rPr>
      <w:rFonts w:ascii="Cambria" w:eastAsia="Cambria" w:hAnsi="Cambria" w:cs="Cambria"/>
      <w:sz w:val="64"/>
      <w:szCs w:val="64"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1"/>
    <w:rsid w:val="00FD0CB1"/>
    <w:rPr>
      <w:rFonts w:ascii="Calibri" w:eastAsia="Calibri" w:hAnsi="Calibri" w:cs="Calibri"/>
      <w:b/>
      <w:bCs/>
      <w:sz w:val="24"/>
      <w:szCs w:val="24"/>
      <w:lang w:eastAsia="en-AU" w:bidi="en-AU"/>
    </w:rPr>
  </w:style>
  <w:style w:type="character" w:customStyle="1" w:styleId="Heading3Char">
    <w:name w:val="Heading 3 Char"/>
    <w:basedOn w:val="DefaultParagraphFont"/>
    <w:link w:val="Heading3"/>
    <w:uiPriority w:val="9"/>
    <w:rsid w:val="00FD0CB1"/>
    <w:rPr>
      <w:rFonts w:asciiTheme="majorHAnsi" w:eastAsiaTheme="majorEastAsia" w:hAnsiTheme="majorHAnsi" w:cstheme="majorBidi"/>
      <w:b/>
      <w:bCs/>
      <w:color w:val="4F81BD" w:themeColor="accent1"/>
      <w:lang w:eastAsia="en-AU" w:bidi="en-AU"/>
    </w:rPr>
  </w:style>
  <w:style w:type="paragraph" w:styleId="ListParagraph">
    <w:name w:val="List Paragraph"/>
    <w:basedOn w:val="Normal"/>
    <w:uiPriority w:val="1"/>
    <w:qFormat/>
    <w:rsid w:val="00FD0CB1"/>
    <w:pPr>
      <w:ind w:left="833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FD0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0C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CB1"/>
    <w:rPr>
      <w:rFonts w:ascii="Calibri" w:eastAsia="Calibri" w:hAnsi="Calibri" w:cs="Calibri"/>
      <w:sz w:val="20"/>
      <w:szCs w:val="20"/>
      <w:lang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B1"/>
    <w:rPr>
      <w:rFonts w:ascii="Tahoma" w:eastAsia="Calibri" w:hAnsi="Tahoma" w:cs="Tahoma"/>
      <w:sz w:val="16"/>
      <w:szCs w:val="16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Strong</dc:creator>
  <cp:lastModifiedBy>Brian Lindsay</cp:lastModifiedBy>
  <cp:revision>7</cp:revision>
  <dcterms:created xsi:type="dcterms:W3CDTF">2019-07-18T02:07:00Z</dcterms:created>
  <dcterms:modified xsi:type="dcterms:W3CDTF">2019-07-19T00:05:00Z</dcterms:modified>
</cp:coreProperties>
</file>